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80B" w:rsidRDefault="00EE119A" w:rsidP="00806D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результативности и качестве реализации адаптированной дополнительной</w:t>
      </w:r>
      <w:r w:rsidR="00806DCD">
        <w:rPr>
          <w:rFonts w:ascii="Times New Roman" w:hAnsi="Times New Roman" w:cs="Times New Roman"/>
          <w:b/>
          <w:sz w:val="28"/>
          <w:szCs w:val="28"/>
        </w:rPr>
        <w:t xml:space="preserve"> об</w:t>
      </w:r>
      <w:r>
        <w:rPr>
          <w:rFonts w:ascii="Times New Roman" w:hAnsi="Times New Roman" w:cs="Times New Roman"/>
          <w:b/>
          <w:sz w:val="28"/>
          <w:szCs w:val="28"/>
        </w:rPr>
        <w:t>щеоб</w:t>
      </w:r>
      <w:r w:rsidR="00806DCD">
        <w:rPr>
          <w:rFonts w:ascii="Times New Roman" w:hAnsi="Times New Roman" w:cs="Times New Roman"/>
          <w:b/>
          <w:sz w:val="28"/>
          <w:szCs w:val="28"/>
        </w:rPr>
        <w:t xml:space="preserve">разовательной </w:t>
      </w:r>
      <w:r w:rsidR="00925653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925653">
        <w:rPr>
          <w:rFonts w:ascii="Times New Roman" w:hAnsi="Times New Roman" w:cs="Times New Roman"/>
          <w:b/>
          <w:sz w:val="28"/>
          <w:szCs w:val="28"/>
        </w:rPr>
        <w:t xml:space="preserve">  - </w:t>
      </w:r>
      <w:r w:rsidR="00925653">
        <w:rPr>
          <w:rFonts w:ascii="Times New Roman" w:hAnsi="Times New Roman" w:cs="Times New Roman"/>
          <w:b/>
          <w:sz w:val="28"/>
          <w:szCs w:val="28"/>
        </w:rPr>
        <w:t>дополнительной</w:t>
      </w:r>
      <w:r w:rsidR="0092565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общеразвивающей </w:t>
      </w:r>
      <w:r w:rsidR="00806DCD">
        <w:rPr>
          <w:rFonts w:ascii="Times New Roman" w:hAnsi="Times New Roman" w:cs="Times New Roman"/>
          <w:b/>
          <w:sz w:val="28"/>
          <w:szCs w:val="28"/>
        </w:rPr>
        <w:t>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«Учимся жить»</w:t>
      </w:r>
    </w:p>
    <w:p w:rsidR="00EE119A" w:rsidRPr="00925653" w:rsidRDefault="00EE119A" w:rsidP="009256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653">
        <w:rPr>
          <w:rFonts w:ascii="Times New Roman" w:hAnsi="Times New Roman" w:cs="Times New Roman"/>
          <w:sz w:val="28"/>
          <w:szCs w:val="28"/>
        </w:rPr>
        <w:t>Сохранность контингента является одним из основных показателей качества реализации дополнительной общеобразовательной общеразвивающей п</w:t>
      </w:r>
      <w:r w:rsidR="000A2C2D" w:rsidRPr="00925653">
        <w:rPr>
          <w:rFonts w:ascii="Times New Roman" w:hAnsi="Times New Roman" w:cs="Times New Roman"/>
          <w:sz w:val="28"/>
          <w:szCs w:val="28"/>
        </w:rPr>
        <w:t xml:space="preserve">рограммы. </w:t>
      </w:r>
      <w:proofErr w:type="gramStart"/>
      <w:r w:rsidR="000A2C2D" w:rsidRPr="00925653">
        <w:rPr>
          <w:rFonts w:ascii="Times New Roman" w:hAnsi="Times New Roman" w:cs="Times New Roman"/>
          <w:sz w:val="28"/>
          <w:szCs w:val="28"/>
        </w:rPr>
        <w:t>В творческом объединении</w:t>
      </w:r>
      <w:r w:rsidRPr="00925653">
        <w:rPr>
          <w:rFonts w:ascii="Times New Roman" w:hAnsi="Times New Roman" w:cs="Times New Roman"/>
          <w:sz w:val="28"/>
          <w:szCs w:val="28"/>
        </w:rPr>
        <w:t xml:space="preserve"> «Учимся жить» </w:t>
      </w:r>
      <w:r w:rsidR="000A2C2D" w:rsidRPr="00925653">
        <w:rPr>
          <w:rFonts w:ascii="Times New Roman" w:hAnsi="Times New Roman" w:cs="Times New Roman"/>
          <w:sz w:val="28"/>
          <w:szCs w:val="28"/>
        </w:rPr>
        <w:t xml:space="preserve">за учебный период наблюдается уменьшение общей численности учащихся из-за переведения одного ученика на индивидуальное обучения на дому </w:t>
      </w:r>
      <w:r w:rsidR="000A2C2D" w:rsidRPr="009256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согласно </w:t>
      </w:r>
      <w:r w:rsidR="000A2C2D" w:rsidRPr="009256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справки  </w:t>
      </w:r>
      <w:r w:rsidR="00FC116D" w:rsidRPr="009256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врачебной комиссии, </w:t>
      </w:r>
      <w:r w:rsidR="000A2C2D" w:rsidRPr="009256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т.к. мальчик страдает психическим расстройством, которое входит в перечень 4-46 заболеваний, наличие которого дает право на обучение по основным общеобразовательным программам на дому.</w:t>
      </w:r>
      <w:proofErr w:type="gramEnd"/>
    </w:p>
    <w:p w:rsidR="00EE119A" w:rsidRDefault="00EE119A" w:rsidP="00EE119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сведения об учащихся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560"/>
        <w:gridCol w:w="1417"/>
        <w:gridCol w:w="1357"/>
        <w:gridCol w:w="1229"/>
        <w:gridCol w:w="1632"/>
      </w:tblGrid>
      <w:tr w:rsidR="00EE119A" w:rsidRPr="00EE119A" w:rsidTr="001E1B67">
        <w:tc>
          <w:tcPr>
            <w:tcW w:w="2376" w:type="dxa"/>
            <w:vMerge w:val="restart"/>
            <w:vAlign w:val="center"/>
          </w:tcPr>
          <w:p w:rsidR="00EE119A" w:rsidRPr="00EE119A" w:rsidRDefault="00EE119A" w:rsidP="00EE11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19A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год</w:t>
            </w:r>
          </w:p>
        </w:tc>
        <w:tc>
          <w:tcPr>
            <w:tcW w:w="1560" w:type="dxa"/>
            <w:vMerge w:val="restart"/>
            <w:vAlign w:val="center"/>
          </w:tcPr>
          <w:p w:rsidR="00EE119A" w:rsidRPr="00EE119A" w:rsidRDefault="00EE119A" w:rsidP="00EE11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19A">
              <w:rPr>
                <w:rFonts w:ascii="Times New Roman" w:hAnsi="Times New Roman" w:cs="Times New Roman"/>
                <w:b/>
                <w:sz w:val="28"/>
                <w:szCs w:val="28"/>
              </w:rPr>
              <w:t>Сохранность</w:t>
            </w:r>
            <w:proofErr w:type="gramStart"/>
            <w:r w:rsidRPr="00EE11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1417" w:type="dxa"/>
            <w:vMerge w:val="restart"/>
            <w:vAlign w:val="center"/>
          </w:tcPr>
          <w:p w:rsidR="00EE119A" w:rsidRPr="00EE119A" w:rsidRDefault="00EE119A" w:rsidP="00EE11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19A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групп</w:t>
            </w:r>
          </w:p>
        </w:tc>
        <w:tc>
          <w:tcPr>
            <w:tcW w:w="1357" w:type="dxa"/>
            <w:vMerge w:val="restart"/>
            <w:vAlign w:val="center"/>
          </w:tcPr>
          <w:p w:rsidR="00EE119A" w:rsidRPr="00EE119A" w:rsidRDefault="00EE119A" w:rsidP="00EE11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19A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учащихся</w:t>
            </w:r>
          </w:p>
        </w:tc>
        <w:tc>
          <w:tcPr>
            <w:tcW w:w="2861" w:type="dxa"/>
            <w:gridSpan w:val="2"/>
            <w:vAlign w:val="center"/>
          </w:tcPr>
          <w:p w:rsidR="00EE119A" w:rsidRPr="00EE119A" w:rsidRDefault="00EE119A" w:rsidP="00EE11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19A">
              <w:rPr>
                <w:rFonts w:ascii="Times New Roman" w:hAnsi="Times New Roman" w:cs="Times New Roman"/>
                <w:b/>
                <w:sz w:val="28"/>
                <w:szCs w:val="28"/>
              </w:rPr>
              <w:t>Из них:</w:t>
            </w:r>
          </w:p>
        </w:tc>
      </w:tr>
      <w:tr w:rsidR="00EE119A" w:rsidRPr="00EE119A" w:rsidTr="001E1B67">
        <w:tc>
          <w:tcPr>
            <w:tcW w:w="2376" w:type="dxa"/>
            <w:vMerge/>
            <w:vAlign w:val="center"/>
          </w:tcPr>
          <w:p w:rsidR="00EE119A" w:rsidRPr="00EE119A" w:rsidRDefault="00EE119A" w:rsidP="00EE11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EE119A" w:rsidRPr="00EE119A" w:rsidRDefault="00EE119A" w:rsidP="00EE11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EE119A" w:rsidRPr="00EE119A" w:rsidRDefault="00EE119A" w:rsidP="00EE11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7" w:type="dxa"/>
            <w:vMerge/>
            <w:vAlign w:val="center"/>
          </w:tcPr>
          <w:p w:rsidR="00EE119A" w:rsidRPr="00EE119A" w:rsidRDefault="00EE119A" w:rsidP="00EE11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9" w:type="dxa"/>
            <w:vAlign w:val="center"/>
          </w:tcPr>
          <w:p w:rsidR="00EE119A" w:rsidRPr="00EE119A" w:rsidRDefault="00EE119A" w:rsidP="00EE11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19A">
              <w:rPr>
                <w:rFonts w:ascii="Times New Roman" w:hAnsi="Times New Roman" w:cs="Times New Roman"/>
                <w:b/>
                <w:sz w:val="28"/>
                <w:szCs w:val="28"/>
              </w:rPr>
              <w:t>девочек</w:t>
            </w:r>
          </w:p>
        </w:tc>
        <w:tc>
          <w:tcPr>
            <w:tcW w:w="1632" w:type="dxa"/>
            <w:vAlign w:val="center"/>
          </w:tcPr>
          <w:p w:rsidR="00EE119A" w:rsidRPr="00EE119A" w:rsidRDefault="00EE119A" w:rsidP="00EE11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19A">
              <w:rPr>
                <w:rFonts w:ascii="Times New Roman" w:hAnsi="Times New Roman" w:cs="Times New Roman"/>
                <w:b/>
                <w:sz w:val="28"/>
                <w:szCs w:val="28"/>
              </w:rPr>
              <w:t>мальчиков</w:t>
            </w:r>
          </w:p>
        </w:tc>
      </w:tr>
      <w:tr w:rsidR="00EE119A" w:rsidTr="001E1B67">
        <w:tc>
          <w:tcPr>
            <w:tcW w:w="2376" w:type="dxa"/>
          </w:tcPr>
          <w:p w:rsidR="00EE119A" w:rsidRDefault="000A2C2D" w:rsidP="00EE1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2021-2022</w:t>
            </w:r>
          </w:p>
        </w:tc>
        <w:tc>
          <w:tcPr>
            <w:tcW w:w="1560" w:type="dxa"/>
          </w:tcPr>
          <w:p w:rsidR="00EE119A" w:rsidRDefault="000A2C2D" w:rsidP="00EE1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</w:tcPr>
          <w:p w:rsidR="00EE119A" w:rsidRDefault="000A2C2D" w:rsidP="00EE1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7" w:type="dxa"/>
          </w:tcPr>
          <w:p w:rsidR="00EE119A" w:rsidRDefault="000A2C2D" w:rsidP="00EE1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29" w:type="dxa"/>
          </w:tcPr>
          <w:p w:rsidR="00EE119A" w:rsidRDefault="000A2C2D" w:rsidP="000A2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2" w:type="dxa"/>
          </w:tcPr>
          <w:p w:rsidR="00EE119A" w:rsidRDefault="000A2C2D" w:rsidP="00EE1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A2C2D" w:rsidTr="001E1B67">
        <w:tc>
          <w:tcPr>
            <w:tcW w:w="2376" w:type="dxa"/>
          </w:tcPr>
          <w:p w:rsidR="000A2C2D" w:rsidRDefault="000A2C2D" w:rsidP="00EE1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2022-2023</w:t>
            </w:r>
          </w:p>
        </w:tc>
        <w:tc>
          <w:tcPr>
            <w:tcW w:w="1560" w:type="dxa"/>
          </w:tcPr>
          <w:p w:rsidR="000A2C2D" w:rsidRDefault="00FC116D" w:rsidP="00EE1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417" w:type="dxa"/>
          </w:tcPr>
          <w:p w:rsidR="000A2C2D" w:rsidRDefault="00FC116D" w:rsidP="00EE1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7" w:type="dxa"/>
          </w:tcPr>
          <w:p w:rsidR="000A2C2D" w:rsidRDefault="00FC116D" w:rsidP="00EE1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29" w:type="dxa"/>
          </w:tcPr>
          <w:p w:rsidR="000A2C2D" w:rsidRDefault="00FC116D" w:rsidP="000A2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2" w:type="dxa"/>
          </w:tcPr>
          <w:p w:rsidR="000A2C2D" w:rsidRDefault="00FC116D" w:rsidP="00EE1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EE119A" w:rsidRDefault="00EE119A" w:rsidP="00EE119A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F7F41" w:rsidRDefault="000F7F41" w:rsidP="000F7F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Высокий показатель сохранности контингента учащихся в целом обусловлен рядом факторов: </w:t>
      </w:r>
    </w:p>
    <w:p w:rsidR="000F7F41" w:rsidRDefault="000F7F41" w:rsidP="000F7F41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профессиональным уровнем педагога;</w:t>
      </w:r>
    </w:p>
    <w:p w:rsidR="000F7F41" w:rsidRDefault="000F7F41" w:rsidP="000F7F41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учётом интересов детей </w:t>
      </w:r>
      <w:r w:rsidR="00386D04">
        <w:rPr>
          <w:rFonts w:ascii="Times New Roman" w:hAnsi="Times New Roman" w:cs="Times New Roman"/>
          <w:sz w:val="28"/>
          <w:szCs w:val="28"/>
        </w:rPr>
        <w:t>и их родителей;</w:t>
      </w:r>
    </w:p>
    <w:p w:rsidR="00386D04" w:rsidRDefault="00386D04" w:rsidP="000F7F41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учетом психофизических особенностей развития детей с задержкой психического развития;</w:t>
      </w:r>
    </w:p>
    <w:p w:rsidR="00386D04" w:rsidRDefault="00386D04" w:rsidP="000F7F41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созданием комфортных условий для обучения детей;</w:t>
      </w:r>
    </w:p>
    <w:p w:rsidR="00386D04" w:rsidRDefault="00386D04" w:rsidP="000F7F41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обеспечением участия детей в образовательных мероприятиях;</w:t>
      </w:r>
    </w:p>
    <w:p w:rsidR="00386D04" w:rsidRDefault="00386D04" w:rsidP="000F7F41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наличием системы контроля полноты реализации АДОП</w:t>
      </w:r>
    </w:p>
    <w:p w:rsidR="00F10994" w:rsidRDefault="001E1F12" w:rsidP="00F109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10994">
        <w:rPr>
          <w:rFonts w:ascii="Times New Roman" w:hAnsi="Times New Roman" w:cs="Times New Roman"/>
          <w:sz w:val="28"/>
          <w:szCs w:val="28"/>
        </w:rPr>
        <w:t>рограмма «Учимся жить» направлена на создание условий личностного развития обучающихся; формирование жизненных и социальных компетенций.</w:t>
      </w:r>
    </w:p>
    <w:p w:rsidR="00F10994" w:rsidRDefault="001E1F12" w:rsidP="00F109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Каждые пол</w:t>
      </w:r>
      <w:r w:rsidR="00F10994">
        <w:rPr>
          <w:rFonts w:ascii="Times New Roman" w:hAnsi="Times New Roman" w:cs="Times New Roman"/>
          <w:sz w:val="28"/>
          <w:szCs w:val="28"/>
        </w:rPr>
        <w:t>года проводятся контрольные срезы по наполнению творческого объединения и сохранности детей в коллективе</w:t>
      </w:r>
    </w:p>
    <w:p w:rsidR="00F10994" w:rsidRPr="00F10994" w:rsidRDefault="00F10994" w:rsidP="00F109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075C" w:rsidRDefault="00B4075C" w:rsidP="00EE119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Уровень освоения учащимися АДОП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161"/>
        <w:gridCol w:w="1177"/>
        <w:gridCol w:w="1892"/>
        <w:gridCol w:w="1625"/>
        <w:gridCol w:w="1765"/>
      </w:tblGrid>
      <w:tr w:rsidR="00B4075C" w:rsidTr="001E1B67">
        <w:tc>
          <w:tcPr>
            <w:tcW w:w="1951" w:type="dxa"/>
            <w:vMerge w:val="restart"/>
            <w:vAlign w:val="center"/>
          </w:tcPr>
          <w:p w:rsidR="00B4075C" w:rsidRDefault="00B4075C" w:rsidP="00B40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год</w:t>
            </w:r>
          </w:p>
        </w:tc>
        <w:tc>
          <w:tcPr>
            <w:tcW w:w="1161" w:type="dxa"/>
            <w:vMerge w:val="restart"/>
            <w:vAlign w:val="center"/>
          </w:tcPr>
          <w:p w:rsidR="00B4075C" w:rsidRDefault="00B4075C" w:rsidP="00B40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учащихся</w:t>
            </w:r>
          </w:p>
        </w:tc>
        <w:tc>
          <w:tcPr>
            <w:tcW w:w="4694" w:type="dxa"/>
            <w:gridSpan w:val="3"/>
            <w:vAlign w:val="center"/>
          </w:tcPr>
          <w:p w:rsidR="00B4075C" w:rsidRDefault="00B4075C" w:rsidP="00B40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Освоение АДОП</w:t>
            </w:r>
          </w:p>
        </w:tc>
        <w:tc>
          <w:tcPr>
            <w:tcW w:w="1765" w:type="dxa"/>
            <w:vAlign w:val="center"/>
          </w:tcPr>
          <w:p w:rsidR="00B4075C" w:rsidRDefault="00B4075C" w:rsidP="00B40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Переведены на следующую ступень обучения</w:t>
            </w:r>
          </w:p>
        </w:tc>
      </w:tr>
      <w:tr w:rsidR="00B4075C" w:rsidTr="001E1B67">
        <w:tc>
          <w:tcPr>
            <w:tcW w:w="1951" w:type="dxa"/>
            <w:vMerge/>
            <w:vAlign w:val="center"/>
          </w:tcPr>
          <w:p w:rsidR="00B4075C" w:rsidRDefault="00B4075C" w:rsidP="00B40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1" w:type="dxa"/>
            <w:vMerge/>
            <w:vAlign w:val="center"/>
          </w:tcPr>
          <w:p w:rsidR="00B4075C" w:rsidRDefault="00B4075C" w:rsidP="00B40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7" w:type="dxa"/>
            <w:vAlign w:val="center"/>
          </w:tcPr>
          <w:p w:rsidR="00B4075C" w:rsidRDefault="00B4075C" w:rsidP="00B40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полном объеме</w:t>
            </w:r>
          </w:p>
        </w:tc>
        <w:tc>
          <w:tcPr>
            <w:tcW w:w="1892" w:type="dxa"/>
            <w:vAlign w:val="center"/>
          </w:tcPr>
          <w:p w:rsidR="00B4075C" w:rsidRDefault="00B4075C" w:rsidP="00B40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необходимом объеме</w:t>
            </w:r>
          </w:p>
        </w:tc>
        <w:tc>
          <w:tcPr>
            <w:tcW w:w="1625" w:type="dxa"/>
            <w:vAlign w:val="center"/>
          </w:tcPr>
          <w:p w:rsidR="00B4075C" w:rsidRDefault="00B4075C" w:rsidP="00B40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 освоили программу</w:t>
            </w:r>
          </w:p>
        </w:tc>
        <w:tc>
          <w:tcPr>
            <w:tcW w:w="1765" w:type="dxa"/>
            <w:vAlign w:val="center"/>
          </w:tcPr>
          <w:p w:rsidR="00B4075C" w:rsidRDefault="00B4075C" w:rsidP="00B40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075C" w:rsidRPr="00B4075C" w:rsidTr="001E1B67">
        <w:tc>
          <w:tcPr>
            <w:tcW w:w="1951" w:type="dxa"/>
          </w:tcPr>
          <w:p w:rsidR="00B4075C" w:rsidRPr="00B4075C" w:rsidRDefault="00B4075C" w:rsidP="00EE1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75C">
              <w:rPr>
                <w:rFonts w:ascii="Times New Roman" w:hAnsi="Times New Roman" w:cs="Times New Roman"/>
                <w:sz w:val="28"/>
                <w:szCs w:val="28"/>
              </w:rPr>
              <w:t>2021-2022</w:t>
            </w:r>
          </w:p>
        </w:tc>
        <w:tc>
          <w:tcPr>
            <w:tcW w:w="1161" w:type="dxa"/>
          </w:tcPr>
          <w:p w:rsidR="00B4075C" w:rsidRPr="00B4075C" w:rsidRDefault="00B4075C" w:rsidP="00EE1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77" w:type="dxa"/>
          </w:tcPr>
          <w:p w:rsidR="00B4075C" w:rsidRPr="00B4075C" w:rsidRDefault="00B4075C" w:rsidP="00EE1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92" w:type="dxa"/>
          </w:tcPr>
          <w:p w:rsidR="00B4075C" w:rsidRPr="00B4075C" w:rsidRDefault="00B4075C" w:rsidP="00EE1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25" w:type="dxa"/>
          </w:tcPr>
          <w:p w:rsidR="00B4075C" w:rsidRPr="00B4075C" w:rsidRDefault="00B4075C" w:rsidP="00EE1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65" w:type="dxa"/>
          </w:tcPr>
          <w:p w:rsidR="00B4075C" w:rsidRPr="00B4075C" w:rsidRDefault="00B4075C" w:rsidP="00EE1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4075C" w:rsidRPr="00B4075C" w:rsidTr="001E1B67">
        <w:tc>
          <w:tcPr>
            <w:tcW w:w="1951" w:type="dxa"/>
          </w:tcPr>
          <w:p w:rsidR="00B4075C" w:rsidRPr="00B4075C" w:rsidRDefault="00B4075C" w:rsidP="00EE1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2022-2023</w:t>
            </w:r>
          </w:p>
        </w:tc>
        <w:tc>
          <w:tcPr>
            <w:tcW w:w="1161" w:type="dxa"/>
          </w:tcPr>
          <w:p w:rsidR="00B4075C" w:rsidRPr="00B4075C" w:rsidRDefault="00B4075C" w:rsidP="00EE1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77" w:type="dxa"/>
          </w:tcPr>
          <w:p w:rsidR="00B4075C" w:rsidRPr="00B4075C" w:rsidRDefault="00B4075C" w:rsidP="00EE1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:rsidR="00B4075C" w:rsidRPr="00B4075C" w:rsidRDefault="00B4075C" w:rsidP="00EE1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5" w:type="dxa"/>
          </w:tcPr>
          <w:p w:rsidR="00B4075C" w:rsidRPr="00B4075C" w:rsidRDefault="00B4075C" w:rsidP="00EE1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B4075C" w:rsidRPr="00B4075C" w:rsidRDefault="00B4075C" w:rsidP="00EE1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075C" w:rsidRDefault="00B4075C" w:rsidP="00EE119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B67" w:rsidRDefault="001E1B67" w:rsidP="00EE119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Полнота реализации АДОП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E1B67" w:rsidTr="001E1B67">
        <w:tc>
          <w:tcPr>
            <w:tcW w:w="3190" w:type="dxa"/>
          </w:tcPr>
          <w:p w:rsidR="001E1B67" w:rsidRDefault="001E1B67" w:rsidP="00EE11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год</w:t>
            </w:r>
          </w:p>
        </w:tc>
        <w:tc>
          <w:tcPr>
            <w:tcW w:w="3190" w:type="dxa"/>
          </w:tcPr>
          <w:p w:rsidR="001E1B67" w:rsidRDefault="001E1B67" w:rsidP="00EE11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по учебному плану</w:t>
            </w:r>
          </w:p>
        </w:tc>
        <w:tc>
          <w:tcPr>
            <w:tcW w:w="3191" w:type="dxa"/>
          </w:tcPr>
          <w:p w:rsidR="001E1B67" w:rsidRDefault="001E1B67" w:rsidP="00EE11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Выполнение программы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1E1B67" w:rsidRPr="001E1B67" w:rsidTr="001E1B67">
        <w:tc>
          <w:tcPr>
            <w:tcW w:w="3190" w:type="dxa"/>
          </w:tcPr>
          <w:p w:rsidR="001E1B67" w:rsidRPr="001E1B67" w:rsidRDefault="001E1B67" w:rsidP="00EE1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B67">
              <w:rPr>
                <w:rFonts w:ascii="Times New Roman" w:hAnsi="Times New Roman" w:cs="Times New Roman"/>
                <w:sz w:val="28"/>
                <w:szCs w:val="28"/>
              </w:rPr>
              <w:t>2021-2022</w:t>
            </w:r>
          </w:p>
        </w:tc>
        <w:tc>
          <w:tcPr>
            <w:tcW w:w="3190" w:type="dxa"/>
          </w:tcPr>
          <w:p w:rsidR="001E1B67" w:rsidRPr="001E1B67" w:rsidRDefault="001E1B67" w:rsidP="00EE1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3191" w:type="dxa"/>
          </w:tcPr>
          <w:p w:rsidR="001E1B67" w:rsidRPr="001E1B67" w:rsidRDefault="001E1B67" w:rsidP="00EE1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E1B67" w:rsidRPr="001E1B67" w:rsidTr="001E1B67">
        <w:tc>
          <w:tcPr>
            <w:tcW w:w="3190" w:type="dxa"/>
          </w:tcPr>
          <w:p w:rsidR="001E1B67" w:rsidRPr="001E1B67" w:rsidRDefault="001E1B67" w:rsidP="00EE1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2022-2023</w:t>
            </w:r>
          </w:p>
        </w:tc>
        <w:tc>
          <w:tcPr>
            <w:tcW w:w="3190" w:type="dxa"/>
          </w:tcPr>
          <w:p w:rsidR="001E1B67" w:rsidRPr="001E1B67" w:rsidRDefault="001E1B67" w:rsidP="00EE1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1E1B67" w:rsidRPr="001E1B67" w:rsidRDefault="001E1B67" w:rsidP="00EE1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1B67" w:rsidRDefault="001E1B67" w:rsidP="00EE119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AD3" w:rsidRDefault="008452DA" w:rsidP="004A0A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52DA">
        <w:rPr>
          <w:rFonts w:ascii="Times New Roman" w:hAnsi="Times New Roman" w:cs="Times New Roman"/>
          <w:sz w:val="28"/>
          <w:szCs w:val="28"/>
        </w:rPr>
        <w:t xml:space="preserve">Результативность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творческого объединения  «Учимся жить» </w:t>
      </w:r>
      <w:r w:rsidR="00FD54F2">
        <w:rPr>
          <w:rFonts w:ascii="Times New Roman" w:hAnsi="Times New Roman" w:cs="Times New Roman"/>
          <w:sz w:val="28"/>
          <w:szCs w:val="28"/>
        </w:rPr>
        <w:t>является наглядной характеристикой качества реализации представленной программы. Учащиеся творческого объединения транслируют личную продуктивность: включаются в творческую деятельность, уч</w:t>
      </w:r>
      <w:r w:rsidR="004A0AD3">
        <w:rPr>
          <w:rFonts w:ascii="Times New Roman" w:hAnsi="Times New Roman" w:cs="Times New Roman"/>
          <w:sz w:val="28"/>
          <w:szCs w:val="28"/>
        </w:rPr>
        <w:t xml:space="preserve">аствуют в акциях, мероприятиях, конкурсах различного уровня. </w:t>
      </w:r>
    </w:p>
    <w:p w:rsidR="004A0AD3" w:rsidRDefault="00D155D5" w:rsidP="004A0A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A0AD3" w:rsidRDefault="004A0AD3" w:rsidP="001E1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этапе начала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обучения по </w:t>
      </w:r>
      <w:r w:rsidR="001E1F12">
        <w:rPr>
          <w:rFonts w:ascii="Times New Roman" w:hAnsi="Times New Roman" w:cs="Times New Roman"/>
          <w:sz w:val="28"/>
          <w:szCs w:val="28"/>
        </w:rPr>
        <w:t>программе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1F12">
        <w:rPr>
          <w:rFonts w:ascii="Times New Roman" w:hAnsi="Times New Roman" w:cs="Times New Roman"/>
          <w:sz w:val="28"/>
          <w:szCs w:val="28"/>
        </w:rPr>
        <w:t>учащиеся</w:t>
      </w:r>
      <w:r>
        <w:rPr>
          <w:rFonts w:ascii="Times New Roman" w:hAnsi="Times New Roman" w:cs="Times New Roman"/>
          <w:sz w:val="28"/>
          <w:szCs w:val="28"/>
        </w:rPr>
        <w:t xml:space="preserve"> находились в пассивной позиции, были отчуждены. По итогу первого года обучения </w:t>
      </w:r>
      <w:r w:rsidR="001A716D">
        <w:rPr>
          <w:rFonts w:ascii="Times New Roman" w:hAnsi="Times New Roman" w:cs="Times New Roman"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 проявляли эпизодический интерес</w:t>
      </w:r>
      <w:r w:rsidR="000311BA">
        <w:rPr>
          <w:rFonts w:ascii="Times New Roman" w:hAnsi="Times New Roman" w:cs="Times New Roman"/>
          <w:sz w:val="28"/>
          <w:szCs w:val="28"/>
        </w:rPr>
        <w:t>, иног</w:t>
      </w:r>
      <w:r w:rsidR="001A716D">
        <w:rPr>
          <w:rFonts w:ascii="Times New Roman" w:hAnsi="Times New Roman" w:cs="Times New Roman"/>
          <w:sz w:val="28"/>
          <w:szCs w:val="28"/>
        </w:rPr>
        <w:t>да откликались на отдельные реп</w:t>
      </w:r>
      <w:r w:rsidR="000311BA">
        <w:rPr>
          <w:rFonts w:ascii="Times New Roman" w:hAnsi="Times New Roman" w:cs="Times New Roman"/>
          <w:sz w:val="28"/>
          <w:szCs w:val="28"/>
        </w:rPr>
        <w:t>л</w:t>
      </w:r>
      <w:r w:rsidR="001A716D">
        <w:rPr>
          <w:rFonts w:ascii="Times New Roman" w:hAnsi="Times New Roman" w:cs="Times New Roman"/>
          <w:sz w:val="28"/>
          <w:szCs w:val="28"/>
        </w:rPr>
        <w:t>и</w:t>
      </w:r>
      <w:r w:rsidR="000311BA">
        <w:rPr>
          <w:rFonts w:ascii="Times New Roman" w:hAnsi="Times New Roman" w:cs="Times New Roman"/>
          <w:sz w:val="28"/>
          <w:szCs w:val="28"/>
        </w:rPr>
        <w:t>ки,</w:t>
      </w:r>
      <w:r w:rsidR="001A716D">
        <w:rPr>
          <w:rFonts w:ascii="Times New Roman" w:hAnsi="Times New Roman" w:cs="Times New Roman"/>
          <w:sz w:val="28"/>
          <w:szCs w:val="28"/>
        </w:rPr>
        <w:t xml:space="preserve"> вопросы, побуждения педагога. По итогу полугодия второго года обучения наблюдается устойчивая вовлеченность детей в образовательные мероприятия; дети проявляются свою активность, откликаются на действия </w:t>
      </w:r>
      <w:r w:rsidR="001E1F12">
        <w:rPr>
          <w:rFonts w:ascii="Times New Roman" w:hAnsi="Times New Roman" w:cs="Times New Roman"/>
          <w:sz w:val="28"/>
          <w:szCs w:val="28"/>
        </w:rPr>
        <w:t>педагога</w:t>
      </w:r>
      <w:r w:rsidR="001A716D">
        <w:rPr>
          <w:rFonts w:ascii="Times New Roman" w:hAnsi="Times New Roman" w:cs="Times New Roman"/>
          <w:sz w:val="28"/>
          <w:szCs w:val="28"/>
        </w:rPr>
        <w:t xml:space="preserve"> и других </w:t>
      </w:r>
      <w:r w:rsidR="001E1F12">
        <w:rPr>
          <w:rFonts w:ascii="Times New Roman" w:hAnsi="Times New Roman" w:cs="Times New Roman"/>
          <w:sz w:val="28"/>
          <w:szCs w:val="28"/>
        </w:rPr>
        <w:t>учащихся</w:t>
      </w:r>
      <w:r w:rsidR="001A716D">
        <w:rPr>
          <w:rFonts w:ascii="Times New Roman" w:hAnsi="Times New Roman" w:cs="Times New Roman"/>
          <w:sz w:val="28"/>
          <w:szCs w:val="28"/>
        </w:rPr>
        <w:t xml:space="preserve">. </w:t>
      </w:r>
      <w:r w:rsidR="001E1F12">
        <w:rPr>
          <w:rFonts w:ascii="Times New Roman" w:hAnsi="Times New Roman" w:cs="Times New Roman"/>
          <w:sz w:val="28"/>
          <w:szCs w:val="28"/>
        </w:rPr>
        <w:t xml:space="preserve">Ребёнок </w:t>
      </w:r>
      <w:r w:rsidR="00D155D5">
        <w:rPr>
          <w:rFonts w:ascii="Times New Roman" w:hAnsi="Times New Roman" w:cs="Times New Roman"/>
          <w:sz w:val="28"/>
          <w:szCs w:val="28"/>
        </w:rPr>
        <w:t xml:space="preserve"> находятся по отношению к педагогу в позиции соискателя. </w:t>
      </w:r>
      <w:r w:rsidR="001E1F12">
        <w:rPr>
          <w:rFonts w:ascii="Times New Roman" w:hAnsi="Times New Roman" w:cs="Times New Roman"/>
          <w:sz w:val="28"/>
          <w:szCs w:val="28"/>
        </w:rPr>
        <w:t>Дети п</w:t>
      </w:r>
      <w:r w:rsidR="00D155D5">
        <w:rPr>
          <w:rFonts w:ascii="Times New Roman" w:hAnsi="Times New Roman" w:cs="Times New Roman"/>
          <w:sz w:val="28"/>
          <w:szCs w:val="28"/>
        </w:rPr>
        <w:t>роявляют свое влияние на происходящее через такие действия,</w:t>
      </w:r>
      <w:r w:rsidR="001E1F12">
        <w:rPr>
          <w:rFonts w:ascii="Times New Roman" w:hAnsi="Times New Roman" w:cs="Times New Roman"/>
          <w:sz w:val="28"/>
          <w:szCs w:val="28"/>
        </w:rPr>
        <w:t xml:space="preserve"> как личностный выбор,</w:t>
      </w:r>
      <w:r w:rsidR="00D155D5">
        <w:rPr>
          <w:rFonts w:ascii="Times New Roman" w:hAnsi="Times New Roman" w:cs="Times New Roman"/>
          <w:sz w:val="28"/>
          <w:szCs w:val="28"/>
        </w:rPr>
        <w:t xml:space="preserve"> познавательный интерес, с желанием участвуют в совместной деятельности.</w:t>
      </w:r>
    </w:p>
    <w:p w:rsidR="0006531F" w:rsidRDefault="0006531F" w:rsidP="001E1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важных показателей работы творческого объединения являются достижения учащихся, отражающих качество образования,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включенность в учебно-познавательную деятельность и результативность воспитательной и образовательной системы. </w:t>
      </w:r>
    </w:p>
    <w:p w:rsidR="00D155D5" w:rsidRDefault="00D155D5" w:rsidP="001E1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динамических</w:t>
      </w:r>
      <w:r w:rsidR="001E1F12">
        <w:rPr>
          <w:rFonts w:ascii="Times New Roman" w:hAnsi="Times New Roman" w:cs="Times New Roman"/>
          <w:sz w:val="28"/>
          <w:szCs w:val="28"/>
        </w:rPr>
        <w:t xml:space="preserve"> показателей вовлечения ребят</w:t>
      </w:r>
      <w:r>
        <w:rPr>
          <w:rFonts w:ascii="Times New Roman" w:hAnsi="Times New Roman" w:cs="Times New Roman"/>
          <w:sz w:val="28"/>
          <w:szCs w:val="28"/>
        </w:rPr>
        <w:t xml:space="preserve"> в проводимые конкурсные мероприятия различного  уровня продемонстрировал стойкую тенденцию к росту, что является прекрасной иллюстрацией заинтересованности детей в публичном представлении достигнутых ими результатов. </w:t>
      </w:r>
    </w:p>
    <w:p w:rsidR="00D155D5" w:rsidRDefault="001E1F12" w:rsidP="00D155D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Достижения уча</w:t>
      </w:r>
      <w:r w:rsidR="00D155D5">
        <w:rPr>
          <w:rFonts w:ascii="Times New Roman" w:hAnsi="Times New Roman" w:cs="Times New Roman"/>
          <w:b/>
          <w:sz w:val="28"/>
          <w:szCs w:val="28"/>
        </w:rPr>
        <w:t>щихся творческого объединения «Учимся жить»</w:t>
      </w:r>
    </w:p>
    <w:tbl>
      <w:tblPr>
        <w:tblStyle w:val="a3"/>
        <w:tblW w:w="9807" w:type="dxa"/>
        <w:tblLayout w:type="fixed"/>
        <w:tblLook w:val="04A0" w:firstRow="1" w:lastRow="0" w:firstColumn="1" w:lastColumn="0" w:noHBand="0" w:noVBand="1"/>
      </w:tblPr>
      <w:tblGrid>
        <w:gridCol w:w="1249"/>
        <w:gridCol w:w="1269"/>
        <w:gridCol w:w="1985"/>
        <w:gridCol w:w="2059"/>
        <w:gridCol w:w="2193"/>
        <w:gridCol w:w="1052"/>
      </w:tblGrid>
      <w:tr w:rsidR="00150041" w:rsidTr="00150041">
        <w:tc>
          <w:tcPr>
            <w:tcW w:w="1249" w:type="dxa"/>
            <w:vMerge w:val="restart"/>
            <w:vAlign w:val="center"/>
          </w:tcPr>
          <w:p w:rsidR="00150041" w:rsidRDefault="00150041" w:rsidP="001500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год</w:t>
            </w:r>
          </w:p>
        </w:tc>
        <w:tc>
          <w:tcPr>
            <w:tcW w:w="1269" w:type="dxa"/>
            <w:vMerge w:val="restart"/>
            <w:vAlign w:val="center"/>
          </w:tcPr>
          <w:p w:rsidR="00150041" w:rsidRDefault="00150041" w:rsidP="001500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учеников</w:t>
            </w:r>
          </w:p>
        </w:tc>
        <w:tc>
          <w:tcPr>
            <w:tcW w:w="6237" w:type="dxa"/>
            <w:gridSpan w:val="3"/>
            <w:vAlign w:val="center"/>
          </w:tcPr>
          <w:p w:rsidR="00150041" w:rsidRDefault="00150041" w:rsidP="001500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достижений</w:t>
            </w:r>
          </w:p>
        </w:tc>
        <w:tc>
          <w:tcPr>
            <w:tcW w:w="1052" w:type="dxa"/>
            <w:vMerge w:val="restart"/>
            <w:vAlign w:val="center"/>
          </w:tcPr>
          <w:p w:rsidR="00150041" w:rsidRDefault="00150041" w:rsidP="001500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</w:tr>
      <w:tr w:rsidR="00150041" w:rsidTr="00150041">
        <w:tc>
          <w:tcPr>
            <w:tcW w:w="1249" w:type="dxa"/>
            <w:vMerge/>
            <w:vAlign w:val="center"/>
          </w:tcPr>
          <w:p w:rsidR="00150041" w:rsidRDefault="00150041" w:rsidP="001500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9" w:type="dxa"/>
            <w:vMerge/>
            <w:vAlign w:val="center"/>
          </w:tcPr>
          <w:p w:rsidR="00150041" w:rsidRDefault="00150041" w:rsidP="001500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150041" w:rsidRDefault="00150041" w:rsidP="001500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</w:t>
            </w:r>
          </w:p>
        </w:tc>
        <w:tc>
          <w:tcPr>
            <w:tcW w:w="2059" w:type="dxa"/>
            <w:vAlign w:val="center"/>
          </w:tcPr>
          <w:p w:rsidR="00150041" w:rsidRDefault="00150041" w:rsidP="001500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Региональный</w:t>
            </w:r>
          </w:p>
        </w:tc>
        <w:tc>
          <w:tcPr>
            <w:tcW w:w="2193" w:type="dxa"/>
            <w:vAlign w:val="center"/>
          </w:tcPr>
          <w:p w:rsidR="00150041" w:rsidRDefault="00150041" w:rsidP="001500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Всероссийский</w:t>
            </w:r>
          </w:p>
        </w:tc>
        <w:tc>
          <w:tcPr>
            <w:tcW w:w="1052" w:type="dxa"/>
            <w:vMerge/>
            <w:vAlign w:val="center"/>
          </w:tcPr>
          <w:p w:rsidR="00150041" w:rsidRDefault="00150041" w:rsidP="001500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0041" w:rsidRPr="00150041" w:rsidTr="00150041">
        <w:tc>
          <w:tcPr>
            <w:tcW w:w="1249" w:type="dxa"/>
          </w:tcPr>
          <w:p w:rsidR="00150041" w:rsidRPr="00150041" w:rsidRDefault="00150041" w:rsidP="00D15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041">
              <w:rPr>
                <w:rFonts w:ascii="Times New Roman" w:hAnsi="Times New Roman" w:cs="Times New Roman"/>
                <w:sz w:val="28"/>
                <w:szCs w:val="28"/>
              </w:rPr>
              <w:t>2021-2022</w:t>
            </w:r>
          </w:p>
        </w:tc>
        <w:tc>
          <w:tcPr>
            <w:tcW w:w="1269" w:type="dxa"/>
          </w:tcPr>
          <w:p w:rsidR="00150041" w:rsidRPr="00150041" w:rsidRDefault="00150041" w:rsidP="00D15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150041" w:rsidRPr="00150041" w:rsidRDefault="00150041" w:rsidP="00D15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59" w:type="dxa"/>
          </w:tcPr>
          <w:p w:rsidR="00150041" w:rsidRPr="00150041" w:rsidRDefault="00150041" w:rsidP="00D15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93" w:type="dxa"/>
          </w:tcPr>
          <w:p w:rsidR="00150041" w:rsidRPr="00150041" w:rsidRDefault="00150041" w:rsidP="00D15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52" w:type="dxa"/>
          </w:tcPr>
          <w:p w:rsidR="00150041" w:rsidRPr="00150041" w:rsidRDefault="00150041" w:rsidP="00D15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50041" w:rsidRPr="00150041" w:rsidTr="00150041">
        <w:tc>
          <w:tcPr>
            <w:tcW w:w="1249" w:type="dxa"/>
          </w:tcPr>
          <w:p w:rsidR="00150041" w:rsidRPr="00150041" w:rsidRDefault="00150041" w:rsidP="00D15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2022-2023</w:t>
            </w:r>
          </w:p>
        </w:tc>
        <w:tc>
          <w:tcPr>
            <w:tcW w:w="1269" w:type="dxa"/>
          </w:tcPr>
          <w:p w:rsidR="00150041" w:rsidRDefault="00150041" w:rsidP="00D15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150041" w:rsidRDefault="00150041" w:rsidP="00D15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59" w:type="dxa"/>
          </w:tcPr>
          <w:p w:rsidR="00150041" w:rsidRDefault="00150041" w:rsidP="00D15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3" w:type="dxa"/>
          </w:tcPr>
          <w:p w:rsidR="00150041" w:rsidRDefault="00150041" w:rsidP="00D15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2" w:type="dxa"/>
          </w:tcPr>
          <w:p w:rsidR="00150041" w:rsidRDefault="00150041" w:rsidP="00D15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D155D5" w:rsidRDefault="00D155D5" w:rsidP="001E1F12">
      <w:pPr>
        <w:rPr>
          <w:rFonts w:ascii="Times New Roman" w:hAnsi="Times New Roman" w:cs="Times New Roman"/>
          <w:b/>
          <w:sz w:val="28"/>
          <w:szCs w:val="28"/>
        </w:rPr>
      </w:pPr>
    </w:p>
    <w:p w:rsidR="007F766F" w:rsidRPr="007F766F" w:rsidRDefault="007F766F" w:rsidP="007F76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Особую значимость в жизни детей играет творческая деятельность. У детей в процессе творческой деятельности увеличивается ощущение собственной ценности как личности, интенсивно строятся индивидуальные контакты с социумом, проявляется чувство контроля и порядка. </w:t>
      </w:r>
    </w:p>
    <w:p w:rsidR="00FD54F2" w:rsidRDefault="00EF203B" w:rsidP="00EF203B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Мони</w:t>
      </w:r>
      <w:r w:rsidR="009E55D7">
        <w:rPr>
          <w:rFonts w:ascii="Times New Roman" w:hAnsi="Times New Roman" w:cs="Times New Roman"/>
          <w:b/>
          <w:sz w:val="28"/>
          <w:szCs w:val="28"/>
        </w:rPr>
        <w:t>торинг познавательной самостоятельности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2"/>
        <w:gridCol w:w="1608"/>
        <w:gridCol w:w="1606"/>
        <w:gridCol w:w="1816"/>
        <w:gridCol w:w="1483"/>
        <w:gridCol w:w="1936"/>
      </w:tblGrid>
      <w:tr w:rsidR="00972C3B" w:rsidTr="00972C3B">
        <w:tc>
          <w:tcPr>
            <w:tcW w:w="1595" w:type="dxa"/>
          </w:tcPr>
          <w:p w:rsidR="00972C3B" w:rsidRDefault="00972C3B" w:rsidP="00EF20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год</w:t>
            </w:r>
          </w:p>
        </w:tc>
        <w:tc>
          <w:tcPr>
            <w:tcW w:w="1595" w:type="dxa"/>
          </w:tcPr>
          <w:p w:rsidR="00972C3B" w:rsidRDefault="00972C3B" w:rsidP="00EF20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Потребность в самопознании и саморазвитии</w:t>
            </w:r>
          </w:p>
        </w:tc>
        <w:tc>
          <w:tcPr>
            <w:tcW w:w="1595" w:type="dxa"/>
          </w:tcPr>
          <w:p w:rsidR="00972C3B" w:rsidRDefault="00972C3B" w:rsidP="00EF20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Увлеченность делом</w:t>
            </w:r>
          </w:p>
        </w:tc>
        <w:tc>
          <w:tcPr>
            <w:tcW w:w="1595" w:type="dxa"/>
          </w:tcPr>
          <w:p w:rsidR="00972C3B" w:rsidRDefault="00972C3B" w:rsidP="00EF20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Творческая направленность</w:t>
            </w:r>
          </w:p>
        </w:tc>
        <w:tc>
          <w:tcPr>
            <w:tcW w:w="1595" w:type="dxa"/>
          </w:tcPr>
          <w:p w:rsidR="00972C3B" w:rsidRDefault="00972C3B" w:rsidP="00EF20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Уверенность в себе</w:t>
            </w:r>
          </w:p>
        </w:tc>
        <w:tc>
          <w:tcPr>
            <w:tcW w:w="1596" w:type="dxa"/>
          </w:tcPr>
          <w:p w:rsidR="00972C3B" w:rsidRDefault="00972C3B" w:rsidP="00EF20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Способность к самоорганизации и самоуправлению</w:t>
            </w:r>
          </w:p>
        </w:tc>
      </w:tr>
      <w:tr w:rsidR="00972C3B" w:rsidRPr="00972C3B" w:rsidTr="00972C3B">
        <w:tc>
          <w:tcPr>
            <w:tcW w:w="1595" w:type="dxa"/>
          </w:tcPr>
          <w:p w:rsidR="00972C3B" w:rsidRPr="00972C3B" w:rsidRDefault="00972C3B" w:rsidP="00EF2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C3B">
              <w:rPr>
                <w:rFonts w:ascii="Times New Roman" w:hAnsi="Times New Roman" w:cs="Times New Roman"/>
                <w:sz w:val="28"/>
                <w:szCs w:val="28"/>
              </w:rPr>
              <w:t>2021-</w:t>
            </w:r>
            <w:r w:rsidRPr="00972C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2022</w:t>
            </w:r>
          </w:p>
        </w:tc>
        <w:tc>
          <w:tcPr>
            <w:tcW w:w="1595" w:type="dxa"/>
          </w:tcPr>
          <w:p w:rsidR="00972C3B" w:rsidRPr="00972C3B" w:rsidRDefault="00972C3B" w:rsidP="00EF2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1595" w:type="dxa"/>
          </w:tcPr>
          <w:p w:rsidR="00972C3B" w:rsidRPr="00972C3B" w:rsidRDefault="00972C3B" w:rsidP="00EF2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972C3B" w:rsidRPr="00972C3B" w:rsidRDefault="00972C3B" w:rsidP="00EF2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972C3B" w:rsidRPr="00972C3B" w:rsidRDefault="00972C3B" w:rsidP="00EF2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6" w:type="dxa"/>
          </w:tcPr>
          <w:p w:rsidR="00972C3B" w:rsidRPr="00972C3B" w:rsidRDefault="00972C3B" w:rsidP="00EF2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72C3B" w:rsidRPr="00972C3B" w:rsidTr="00972C3B">
        <w:tc>
          <w:tcPr>
            <w:tcW w:w="1595" w:type="dxa"/>
          </w:tcPr>
          <w:p w:rsidR="00972C3B" w:rsidRPr="00972C3B" w:rsidRDefault="00972C3B" w:rsidP="00EF2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2022-2023</w:t>
            </w:r>
          </w:p>
        </w:tc>
        <w:tc>
          <w:tcPr>
            <w:tcW w:w="1595" w:type="dxa"/>
          </w:tcPr>
          <w:p w:rsidR="00972C3B" w:rsidRPr="00972C3B" w:rsidRDefault="00C3714C" w:rsidP="00EF2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972C3B" w:rsidRPr="00972C3B" w:rsidRDefault="00972C3B" w:rsidP="00EF2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95" w:type="dxa"/>
          </w:tcPr>
          <w:p w:rsidR="00972C3B" w:rsidRPr="00972C3B" w:rsidRDefault="00972C3B" w:rsidP="00EF2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972C3B" w:rsidRPr="00972C3B" w:rsidRDefault="00C3714C" w:rsidP="00EF2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96" w:type="dxa"/>
          </w:tcPr>
          <w:p w:rsidR="00972C3B" w:rsidRPr="00972C3B" w:rsidRDefault="00972C3B" w:rsidP="00EF2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972C3B" w:rsidRPr="00EF203B" w:rsidRDefault="00972C3B" w:rsidP="001E1F12">
      <w:pPr>
        <w:rPr>
          <w:rFonts w:ascii="Times New Roman" w:hAnsi="Times New Roman" w:cs="Times New Roman"/>
          <w:b/>
          <w:sz w:val="28"/>
          <w:szCs w:val="28"/>
        </w:rPr>
      </w:pPr>
    </w:p>
    <w:p w:rsidR="00EE119A" w:rsidRDefault="00C3714C" w:rsidP="001E1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мониторинга познавательной самостоятельности наблюдается положительная динамика. Следует отметить, что результаты свидетельствуют о том, что дети готовы к обучению, способны применять знания в повседневной деятельности. </w:t>
      </w:r>
      <w:r w:rsidRPr="00C37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воспитанников выявлено развитие интересов, любознательности и познавательной мотивации; сформировались познавательные действия, развитие воображения и творческой активности. </w:t>
      </w:r>
    </w:p>
    <w:p w:rsidR="007F766F" w:rsidRPr="007F766F" w:rsidRDefault="007F766F" w:rsidP="001E1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766F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Дети с ОВЗ имеют большое количество стеснений и ограничений в разных видах деятельности. Они не могут быть самостоятельными и всегда нуждаются в постоянной поддержке и сопровождении взрослого. Эти дети лишены возможности брать пример и перенимать опыт от своих ровесников, которые есть у обычного ребенка. Трудность в изучении мира, который окружает, приводит к образованию эмоциональных проблем у таких детей (испуг, страх, неуверенность, тревожность и т. д.). 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Технология музыкального восприятия </w:t>
      </w:r>
      <w:r w:rsidR="005C257C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является дополнительным средством коррекции психофизических недостатков. </w:t>
      </w:r>
    </w:p>
    <w:p w:rsidR="00C3714C" w:rsidRDefault="00C3714C" w:rsidP="00C3714C">
      <w:pPr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Оценка образовательных результатов потребителями образовательных услуг</w:t>
      </w:r>
    </w:p>
    <w:p w:rsidR="00C3714C" w:rsidRDefault="00C3714C" w:rsidP="00C3714C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Результаты мониторинга, организованного с целью </w:t>
      </w:r>
      <w:r w:rsidR="001E1F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определения удовлетворенности уча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щихся и их родителей качеством предоставляемых </w:t>
      </w:r>
      <w:r w:rsidR="005D38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результатов приведены в таблице. Приведенные данные основываются </w:t>
      </w:r>
      <w:r w:rsidR="00147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результате анкетирования респондентов и сведений, полученных при п</w:t>
      </w:r>
      <w:r w:rsidR="001E1F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роведении опросов родителей и уча</w:t>
      </w:r>
      <w:r w:rsidR="00147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щихся на про</w:t>
      </w:r>
      <w:r w:rsidR="001E1F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тяжении всего срока реализации </w:t>
      </w:r>
      <w:r w:rsidR="00147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программы «Учимся жить».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F7F41" w:rsidRPr="000F7F41" w:rsidTr="000F7F41">
        <w:tc>
          <w:tcPr>
            <w:tcW w:w="3190" w:type="dxa"/>
          </w:tcPr>
          <w:p w:rsidR="000F7F41" w:rsidRPr="000F7F41" w:rsidRDefault="000F7F41" w:rsidP="000F7F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7F41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3190" w:type="dxa"/>
          </w:tcPr>
          <w:p w:rsidR="000F7F41" w:rsidRPr="000F7F41" w:rsidRDefault="000F7F41" w:rsidP="000F7F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7F41">
              <w:rPr>
                <w:rFonts w:ascii="Times New Roman" w:hAnsi="Times New Roman" w:cs="Times New Roman"/>
                <w:b/>
                <w:sz w:val="28"/>
                <w:szCs w:val="28"/>
              </w:rPr>
              <w:t>2021-2022</w:t>
            </w:r>
          </w:p>
        </w:tc>
        <w:tc>
          <w:tcPr>
            <w:tcW w:w="3191" w:type="dxa"/>
          </w:tcPr>
          <w:p w:rsidR="000F7F41" w:rsidRPr="000F7F41" w:rsidRDefault="000F7F41" w:rsidP="000F7F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7F41">
              <w:rPr>
                <w:rFonts w:ascii="Times New Roman" w:hAnsi="Times New Roman" w:cs="Times New Roman"/>
                <w:b/>
                <w:sz w:val="28"/>
                <w:szCs w:val="28"/>
              </w:rPr>
              <w:t>2022-2023</w:t>
            </w:r>
          </w:p>
        </w:tc>
      </w:tr>
      <w:tr w:rsidR="000F7F41" w:rsidTr="000F7F41">
        <w:tc>
          <w:tcPr>
            <w:tcW w:w="3190" w:type="dxa"/>
          </w:tcPr>
          <w:p w:rsidR="000F7F41" w:rsidRDefault="000F7F41" w:rsidP="000F7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 родителей, удовлетворенных качеством образовательных результатов</w:t>
            </w:r>
          </w:p>
        </w:tc>
        <w:tc>
          <w:tcPr>
            <w:tcW w:w="3190" w:type="dxa"/>
          </w:tcPr>
          <w:p w:rsidR="000F7F41" w:rsidRDefault="000F7F41" w:rsidP="000F7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95%</w:t>
            </w:r>
          </w:p>
        </w:tc>
        <w:tc>
          <w:tcPr>
            <w:tcW w:w="3191" w:type="dxa"/>
          </w:tcPr>
          <w:p w:rsidR="000F7F41" w:rsidRDefault="000F7F41" w:rsidP="000F7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95%</w:t>
            </w:r>
          </w:p>
        </w:tc>
      </w:tr>
      <w:tr w:rsidR="000F7F41" w:rsidTr="000F7F41">
        <w:tc>
          <w:tcPr>
            <w:tcW w:w="3190" w:type="dxa"/>
          </w:tcPr>
          <w:p w:rsidR="000F7F41" w:rsidRDefault="000F7F41" w:rsidP="00C371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 обучающихся, удовлетворенных качеством образовательных результатов</w:t>
            </w:r>
          </w:p>
        </w:tc>
        <w:tc>
          <w:tcPr>
            <w:tcW w:w="3190" w:type="dxa"/>
          </w:tcPr>
          <w:p w:rsidR="000F7F41" w:rsidRDefault="000F7F41" w:rsidP="000F7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95%</w:t>
            </w:r>
          </w:p>
        </w:tc>
        <w:tc>
          <w:tcPr>
            <w:tcW w:w="3191" w:type="dxa"/>
          </w:tcPr>
          <w:p w:rsidR="000F7F41" w:rsidRDefault="000F7F41" w:rsidP="000F7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99%</w:t>
            </w:r>
          </w:p>
        </w:tc>
      </w:tr>
    </w:tbl>
    <w:p w:rsidR="000F7F41" w:rsidRPr="00C3714C" w:rsidRDefault="000F7F41" w:rsidP="00C371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6DCD" w:rsidRPr="00806DCD" w:rsidRDefault="00806DCD" w:rsidP="00806D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06DCD" w:rsidRPr="00806DCD" w:rsidSect="001E1B67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969AE"/>
    <w:multiLevelType w:val="hybridMultilevel"/>
    <w:tmpl w:val="15327EE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06DCD"/>
    <w:rsid w:val="000311BA"/>
    <w:rsid w:val="0006531F"/>
    <w:rsid w:val="000A2C2D"/>
    <w:rsid w:val="000C0C03"/>
    <w:rsid w:val="000F7F41"/>
    <w:rsid w:val="00147AE1"/>
    <w:rsid w:val="00150041"/>
    <w:rsid w:val="001A716D"/>
    <w:rsid w:val="001E1B67"/>
    <w:rsid w:val="001E1F12"/>
    <w:rsid w:val="00386D04"/>
    <w:rsid w:val="004A0AD3"/>
    <w:rsid w:val="00546821"/>
    <w:rsid w:val="005C257C"/>
    <w:rsid w:val="005D380B"/>
    <w:rsid w:val="007F766F"/>
    <w:rsid w:val="00806DCD"/>
    <w:rsid w:val="008452DA"/>
    <w:rsid w:val="008847CE"/>
    <w:rsid w:val="008B4D72"/>
    <w:rsid w:val="00925653"/>
    <w:rsid w:val="00972C3B"/>
    <w:rsid w:val="009E55D7"/>
    <w:rsid w:val="00A70524"/>
    <w:rsid w:val="00B4075C"/>
    <w:rsid w:val="00C3714C"/>
    <w:rsid w:val="00D155D5"/>
    <w:rsid w:val="00EE119A"/>
    <w:rsid w:val="00EF203B"/>
    <w:rsid w:val="00F10994"/>
    <w:rsid w:val="00FC116D"/>
    <w:rsid w:val="00FD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1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15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55D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F7F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Количество вовлеченных учащихся</a:t>
            </a: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вовлеченных учеников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1 полугодие 1 года обучения</c:v>
                </c:pt>
                <c:pt idx="1">
                  <c:v>итог 1 года обучения</c:v>
                </c:pt>
                <c:pt idx="2">
                  <c:v>1 полугодие 2 года обучения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0</c:v>
                </c:pt>
                <c:pt idx="1">
                  <c:v>3</c:v>
                </c:pt>
                <c:pt idx="2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0841088"/>
        <c:axId val="50843008"/>
        <c:axId val="0"/>
      </c:bar3DChart>
      <c:catAx>
        <c:axId val="50841088"/>
        <c:scaling>
          <c:orientation val="minMax"/>
        </c:scaling>
        <c:delete val="0"/>
        <c:axPos val="b"/>
        <c:majorTickMark val="out"/>
        <c:minorTickMark val="none"/>
        <c:tickLblPos val="nextTo"/>
        <c:crossAx val="50843008"/>
        <c:crosses val="autoZero"/>
        <c:auto val="1"/>
        <c:lblAlgn val="ctr"/>
        <c:lblOffset val="100"/>
        <c:noMultiLvlLbl val="0"/>
      </c:catAx>
      <c:valAx>
        <c:axId val="508430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084108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</dc:creator>
  <cp:keywords/>
  <dc:description/>
  <cp:lastModifiedBy>MARGARITA</cp:lastModifiedBy>
  <cp:revision>25</cp:revision>
  <dcterms:created xsi:type="dcterms:W3CDTF">2023-02-08T07:45:00Z</dcterms:created>
  <dcterms:modified xsi:type="dcterms:W3CDTF">2023-02-08T12:35:00Z</dcterms:modified>
</cp:coreProperties>
</file>